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39F3" w:rsidRPr="002F39F3" w:rsidRDefault="002F39F3">
      <w:pPr>
        <w:widowControl w:val="0"/>
        <w:jc w:val="center"/>
        <w:rPr>
          <w:rFonts w:asciiTheme="minorHAnsi" w:eastAsia="Calibri" w:hAnsiTheme="minorHAnsi" w:cs="Calibri"/>
          <w:szCs w:val="28"/>
        </w:rPr>
      </w:pPr>
    </w:p>
    <w:p w:rsidR="00E92C72" w:rsidRPr="002F39F3" w:rsidRDefault="00752075">
      <w:pPr>
        <w:widowControl w:val="0"/>
        <w:jc w:val="center"/>
        <w:rPr>
          <w:rFonts w:asciiTheme="minorHAnsi" w:hAnsiTheme="minorHAnsi"/>
        </w:rPr>
      </w:pPr>
      <w:r w:rsidRPr="002F39F3">
        <w:rPr>
          <w:rFonts w:asciiTheme="minorHAnsi" w:eastAsia="Calibri" w:hAnsiTheme="minorHAnsi" w:cs="Calibri"/>
          <w:b/>
          <w:sz w:val="28"/>
          <w:szCs w:val="28"/>
        </w:rPr>
        <w:t>Acuerdos de la Junta Directiva de EAPN Madrid</w:t>
      </w:r>
    </w:p>
    <w:p w:rsidR="00E92C72" w:rsidRPr="002F39F3" w:rsidRDefault="00752075">
      <w:pPr>
        <w:widowControl w:val="0"/>
        <w:jc w:val="center"/>
        <w:rPr>
          <w:rFonts w:asciiTheme="minorHAnsi" w:hAnsiTheme="minorHAnsi"/>
        </w:rPr>
      </w:pPr>
      <w:r w:rsidRPr="002F39F3">
        <w:rPr>
          <w:rFonts w:asciiTheme="minorHAnsi" w:eastAsia="Calibri" w:hAnsiTheme="minorHAnsi" w:cs="Calibri"/>
          <w:b/>
          <w:sz w:val="28"/>
          <w:szCs w:val="28"/>
        </w:rPr>
        <w:t>Madrid, 19 de febrero de 2016</w:t>
      </w:r>
    </w:p>
    <w:p w:rsidR="00E92C72" w:rsidRPr="002F39F3" w:rsidRDefault="00E92C72">
      <w:pPr>
        <w:widowControl w:val="0"/>
        <w:jc w:val="both"/>
        <w:rPr>
          <w:rFonts w:asciiTheme="minorHAnsi" w:hAnsiTheme="minorHAnsi"/>
        </w:rPr>
      </w:pPr>
    </w:p>
    <w:p w:rsidR="00E92C72" w:rsidRPr="002F39F3" w:rsidRDefault="00752075">
      <w:pPr>
        <w:widowControl w:val="0"/>
        <w:jc w:val="both"/>
        <w:rPr>
          <w:rFonts w:asciiTheme="minorHAnsi" w:hAnsiTheme="minorHAnsi"/>
        </w:rPr>
      </w:pPr>
      <w:r w:rsidRPr="002F39F3">
        <w:rPr>
          <w:rFonts w:asciiTheme="minorHAnsi" w:eastAsia="Calibri" w:hAnsiTheme="minorHAnsi" w:cs="Calibri"/>
          <w:sz w:val="24"/>
          <w:szCs w:val="24"/>
        </w:rPr>
        <w:t xml:space="preserve">El </w:t>
      </w:r>
      <w:r w:rsidR="00F01833">
        <w:rPr>
          <w:rFonts w:asciiTheme="minorHAnsi" w:eastAsia="Calibri" w:hAnsiTheme="minorHAnsi" w:cs="Calibri"/>
          <w:sz w:val="24"/>
          <w:szCs w:val="24"/>
        </w:rPr>
        <w:t>día</w:t>
      </w:r>
      <w:r w:rsidRPr="002F39F3">
        <w:rPr>
          <w:rFonts w:asciiTheme="minorHAnsi" w:eastAsia="Calibri" w:hAnsiTheme="minorHAnsi" w:cs="Calibri"/>
          <w:sz w:val="24"/>
          <w:szCs w:val="24"/>
        </w:rPr>
        <w:t xml:space="preserve"> 19 de febrero de 2016, en la reunión de la Junta Directiva de EAPN Madrid, se trataron las siguientes cuestiones y se adoptaron los siguientes acuerdos:</w:t>
      </w:r>
    </w:p>
    <w:p w:rsidR="00E92C72" w:rsidRPr="002F39F3" w:rsidRDefault="00E92C72">
      <w:pPr>
        <w:widowControl w:val="0"/>
        <w:jc w:val="both"/>
        <w:rPr>
          <w:rFonts w:asciiTheme="minorHAnsi" w:hAnsiTheme="minorHAnsi"/>
        </w:rPr>
      </w:pPr>
    </w:p>
    <w:p w:rsidR="00E92C72" w:rsidRPr="002F39F3" w:rsidRDefault="00752075">
      <w:pPr>
        <w:widowControl w:val="0"/>
        <w:numPr>
          <w:ilvl w:val="0"/>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Se evaluó la presentación del Informe de pobreza del 10 de febrero, destacando la asistencia de más de 120 personas y su repercusión en medios sociales. También se acordó solicitar una reunión con el director general de la Fundación ONCE, para analizar posibilidades de colaboración de cara a incorporar datos sobre pobreza y discapacidad en posteriores informes.</w:t>
      </w:r>
    </w:p>
    <w:p w:rsidR="00E92C72" w:rsidRPr="002F39F3" w:rsidRDefault="00E92C72">
      <w:pPr>
        <w:widowControl w:val="0"/>
        <w:jc w:val="both"/>
        <w:rPr>
          <w:rFonts w:asciiTheme="minorHAnsi" w:hAnsiTheme="minorHAnsi"/>
        </w:rPr>
      </w:pPr>
    </w:p>
    <w:p w:rsidR="00E92C72" w:rsidRPr="002F39F3" w:rsidRDefault="00752075">
      <w:pPr>
        <w:widowControl w:val="0"/>
        <w:numPr>
          <w:ilvl w:val="0"/>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Se valoró y se acordó mantener la participación de EAPN Madrid en la Alianza social en defensa del sistema público de servicios sociales de la Comunidad de Madrid.</w:t>
      </w:r>
    </w:p>
    <w:p w:rsidR="00E92C72" w:rsidRPr="002F39F3" w:rsidRDefault="00E92C72">
      <w:pPr>
        <w:widowControl w:val="0"/>
        <w:jc w:val="both"/>
        <w:rPr>
          <w:rFonts w:asciiTheme="minorHAnsi" w:hAnsiTheme="minorHAnsi"/>
        </w:rPr>
      </w:pPr>
    </w:p>
    <w:p w:rsidR="00E92C72" w:rsidRPr="002F39F3" w:rsidRDefault="00752075">
      <w:pPr>
        <w:widowControl w:val="0"/>
        <w:numPr>
          <w:ilvl w:val="0"/>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Se informó sobre las reuniones institucionales mantenidas durante el último mes:</w:t>
      </w:r>
    </w:p>
    <w:p w:rsidR="00E92C72" w:rsidRPr="002F39F3" w:rsidRDefault="00E92C72">
      <w:pPr>
        <w:widowControl w:val="0"/>
        <w:ind w:left="720"/>
        <w:jc w:val="both"/>
        <w:rPr>
          <w:rFonts w:asciiTheme="minorHAnsi" w:hAnsiTheme="minorHAnsi"/>
        </w:rPr>
      </w:pPr>
    </w:p>
    <w:p w:rsidR="00E92C72" w:rsidRPr="002F39F3" w:rsidRDefault="00752075">
      <w:pPr>
        <w:widowControl w:val="0"/>
        <w:numPr>
          <w:ilvl w:val="1"/>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Reunión de la Plataforma del Tercer Sector (PTS), a la que asistió Antonio Llorente, en la que se renovaron los cargos de la Junta Directiva, se informó sobre la reunión con el secretario general del PSOE, y se abordaron temas relevantes en la agenda de la PTS como la Ley del Tercer Sector y la convocatoria de subvenciones del IRPF.</w:t>
      </w:r>
    </w:p>
    <w:p w:rsidR="00E92C72" w:rsidRPr="002F39F3" w:rsidRDefault="00E92C72">
      <w:pPr>
        <w:widowControl w:val="0"/>
        <w:ind w:left="720"/>
        <w:jc w:val="both"/>
        <w:rPr>
          <w:rFonts w:asciiTheme="minorHAnsi" w:hAnsiTheme="minorHAnsi"/>
        </w:rPr>
      </w:pPr>
    </w:p>
    <w:p w:rsidR="00E92C72" w:rsidRPr="002F39F3" w:rsidRDefault="00752075">
      <w:pPr>
        <w:widowControl w:val="0"/>
        <w:numPr>
          <w:ilvl w:val="1"/>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Reunión de Red de Redes Madrid, en la que se informó del proceso de diálogo con Cáritas, Cruz Roja, ONCE y CERMI para su incorporación a la Red, y las propuestas de modificación del borrador de Estatutos.</w:t>
      </w:r>
    </w:p>
    <w:p w:rsidR="00E92C72" w:rsidRPr="002F39F3" w:rsidRDefault="00E92C72">
      <w:pPr>
        <w:widowControl w:val="0"/>
        <w:ind w:left="720"/>
        <w:jc w:val="both"/>
        <w:rPr>
          <w:rFonts w:asciiTheme="minorHAnsi" w:hAnsiTheme="minorHAnsi"/>
        </w:rPr>
      </w:pPr>
    </w:p>
    <w:p w:rsidR="00E92C72" w:rsidRPr="002F39F3" w:rsidRDefault="00752075">
      <w:pPr>
        <w:widowControl w:val="0"/>
        <w:numPr>
          <w:ilvl w:val="1"/>
          <w:numId w:val="13"/>
        </w:numPr>
        <w:ind w:hanging="360"/>
        <w:contextualSpacing/>
        <w:rPr>
          <w:rFonts w:asciiTheme="minorHAnsi" w:eastAsia="Calibri" w:hAnsiTheme="minorHAnsi" w:cs="Calibri"/>
          <w:sz w:val="24"/>
          <w:szCs w:val="24"/>
        </w:rPr>
      </w:pPr>
      <w:r w:rsidRPr="002F39F3">
        <w:rPr>
          <w:rFonts w:asciiTheme="minorHAnsi" w:eastAsia="Calibri" w:hAnsiTheme="minorHAnsi" w:cs="Calibri"/>
          <w:sz w:val="24"/>
          <w:szCs w:val="24"/>
        </w:rPr>
        <w:t>Jornada de consulta técnica para la Estrategia de Inclusión, a la que asistió Gaby Jorquera, en la que se abordó es diagnóstico sobre las situaciones de pobreza y exclusión social, con la participación de representantes de la administración y las entidades sociales.</w:t>
      </w:r>
    </w:p>
    <w:p w:rsidR="00E92C72" w:rsidRPr="002F39F3" w:rsidRDefault="00E92C72">
      <w:pPr>
        <w:widowControl w:val="0"/>
        <w:ind w:left="720"/>
        <w:rPr>
          <w:rFonts w:asciiTheme="minorHAnsi" w:hAnsiTheme="minorHAnsi"/>
        </w:rPr>
      </w:pPr>
    </w:p>
    <w:p w:rsidR="00E92C72" w:rsidRPr="002F39F3" w:rsidRDefault="00752075">
      <w:pPr>
        <w:widowControl w:val="0"/>
        <w:numPr>
          <w:ilvl w:val="1"/>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 xml:space="preserve">Se acordó contactar con el director general de Servicios Sociales e Integración Social, Pablo Gómez-Tavira para valorar los trabajos de elaboración de la </w:t>
      </w:r>
      <w:r w:rsidRPr="002F39F3">
        <w:rPr>
          <w:rFonts w:asciiTheme="minorHAnsi" w:eastAsia="Calibri" w:hAnsiTheme="minorHAnsi" w:cs="Calibri"/>
          <w:sz w:val="24"/>
          <w:szCs w:val="24"/>
        </w:rPr>
        <w:lastRenderedPageBreak/>
        <w:t>Estrategia de Inclusión, proponer la concreción de la colaboración estratégica en varias vías: solicitar el borrador, estar en la comisión de seguimiento y conocer los mecanismos de seguimiento y coordinación entre estrategias.</w:t>
      </w:r>
    </w:p>
    <w:p w:rsidR="00E92C72" w:rsidRPr="002F39F3" w:rsidRDefault="00E92C72">
      <w:pPr>
        <w:widowControl w:val="0"/>
        <w:ind w:left="720"/>
        <w:rPr>
          <w:rFonts w:asciiTheme="minorHAnsi" w:hAnsiTheme="minorHAnsi"/>
        </w:rPr>
      </w:pPr>
    </w:p>
    <w:p w:rsidR="00E92C72" w:rsidRPr="002F39F3" w:rsidRDefault="00752075">
      <w:pPr>
        <w:widowControl w:val="0"/>
        <w:numPr>
          <w:ilvl w:val="1"/>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Reunión de la Mesa de Inclusión de Madrid para elaborar una propuesta de participación de las personas en vulnerabilidad social ante el Ayuntamiento de Madrid.</w:t>
      </w:r>
    </w:p>
    <w:p w:rsidR="00E92C72" w:rsidRPr="002F39F3" w:rsidRDefault="00E92C72">
      <w:pPr>
        <w:widowControl w:val="0"/>
        <w:ind w:left="720"/>
        <w:jc w:val="both"/>
        <w:rPr>
          <w:rFonts w:asciiTheme="minorHAnsi" w:hAnsiTheme="minorHAnsi"/>
        </w:rPr>
      </w:pPr>
    </w:p>
    <w:p w:rsidR="00E92C72" w:rsidRPr="002F39F3" w:rsidRDefault="00752075">
      <w:pPr>
        <w:widowControl w:val="0"/>
        <w:numPr>
          <w:ilvl w:val="1"/>
          <w:numId w:val="13"/>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Reunión de la Mesa de Inclusión de Madrid con las responsables de la Estrategia de Derechos Humanos del Ayuntamiento de Madrid para conocer los trabajos que están haciendo y posibilidades de colaboración con la iniciativa de participación que se está elaborando por parte de la Mesa.</w:t>
      </w:r>
    </w:p>
    <w:p w:rsidR="00E92C72" w:rsidRPr="002F39F3" w:rsidRDefault="00E92C72">
      <w:pPr>
        <w:widowControl w:val="0"/>
        <w:ind w:left="720"/>
        <w:jc w:val="both"/>
        <w:rPr>
          <w:rFonts w:asciiTheme="minorHAnsi" w:hAnsiTheme="minorHAnsi"/>
        </w:rPr>
      </w:pPr>
    </w:p>
    <w:p w:rsidR="00E92C72" w:rsidRPr="002F39F3" w:rsidRDefault="00752075">
      <w:pPr>
        <w:widowControl w:val="0"/>
        <w:numPr>
          <w:ilvl w:val="1"/>
          <w:numId w:val="13"/>
        </w:numPr>
        <w:ind w:hanging="360"/>
        <w:contextualSpacing/>
        <w:rPr>
          <w:rFonts w:asciiTheme="minorHAnsi" w:eastAsia="Calibri" w:hAnsiTheme="minorHAnsi" w:cs="Calibri"/>
          <w:sz w:val="24"/>
          <w:szCs w:val="24"/>
        </w:rPr>
      </w:pPr>
      <w:r w:rsidRPr="002F39F3">
        <w:rPr>
          <w:rFonts w:asciiTheme="minorHAnsi" w:eastAsia="Calibri" w:hAnsiTheme="minorHAnsi" w:cs="Calibri"/>
          <w:sz w:val="24"/>
          <w:szCs w:val="24"/>
        </w:rPr>
        <w:t>Reunión de la Mesa de Inclusión de Madrid con diferentes responsables del Ayuntamiento de Madrid para valorar la mejora de los procesos de empadronamiento de las personas en situación de vulnerabilidad social.</w:t>
      </w:r>
    </w:p>
    <w:p w:rsidR="00E92C72" w:rsidRPr="002F39F3" w:rsidRDefault="00E92C72">
      <w:pPr>
        <w:widowControl w:val="0"/>
        <w:jc w:val="both"/>
        <w:rPr>
          <w:rFonts w:asciiTheme="minorHAnsi" w:hAnsiTheme="minorHAnsi"/>
        </w:rPr>
      </w:pPr>
    </w:p>
    <w:p w:rsidR="00E92C72" w:rsidRPr="002F39F3" w:rsidRDefault="00752075">
      <w:pPr>
        <w:widowControl w:val="0"/>
        <w:numPr>
          <w:ilvl w:val="0"/>
          <w:numId w:val="16"/>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Se aprobó el borrador del Plan estratégico 2016-2019 de EAPN-Madrid para ser ratificado en la Asamblea General, y se encargó la elaboración del borrador del Plan Operativo anual a la Junta Permanente.</w:t>
      </w:r>
    </w:p>
    <w:p w:rsidR="00E92C72" w:rsidRPr="002F39F3" w:rsidRDefault="00E92C72">
      <w:pPr>
        <w:widowControl w:val="0"/>
        <w:jc w:val="both"/>
        <w:rPr>
          <w:rFonts w:asciiTheme="minorHAnsi" w:hAnsiTheme="minorHAnsi"/>
        </w:rPr>
      </w:pPr>
    </w:p>
    <w:p w:rsidR="00E92C72" w:rsidRPr="002F39F3" w:rsidRDefault="00752075">
      <w:pPr>
        <w:widowControl w:val="0"/>
        <w:numPr>
          <w:ilvl w:val="0"/>
          <w:numId w:val="17"/>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Se revisaron las funciones y responsabilidades de los miembros de la Junta Directiva desde el Plan Estratégico, y su papel en los grupos de trabajo, asignando la responsabilidad de cada uno de la siguiente manera:</w:t>
      </w:r>
    </w:p>
    <w:p w:rsidR="00E92C72" w:rsidRPr="002F39F3" w:rsidRDefault="00752075">
      <w:pPr>
        <w:widowControl w:val="0"/>
        <w:numPr>
          <w:ilvl w:val="1"/>
          <w:numId w:val="17"/>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Alojamiento:</w:t>
      </w:r>
      <w:r w:rsidRPr="002F39F3">
        <w:rPr>
          <w:rFonts w:asciiTheme="minorHAnsi" w:eastAsia="Calibri" w:hAnsiTheme="minorHAnsi" w:cs="Calibri"/>
          <w:sz w:val="24"/>
          <w:szCs w:val="24"/>
        </w:rPr>
        <w:tab/>
        <w:t>Mª Victoria Martín</w:t>
      </w:r>
    </w:p>
    <w:p w:rsidR="00E92C72" w:rsidRPr="002F39F3" w:rsidRDefault="00752075">
      <w:pPr>
        <w:widowControl w:val="0"/>
        <w:numPr>
          <w:ilvl w:val="1"/>
          <w:numId w:val="17"/>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Educación:</w:t>
      </w:r>
      <w:r w:rsidRPr="002F39F3">
        <w:rPr>
          <w:rFonts w:asciiTheme="minorHAnsi" w:eastAsia="Calibri" w:hAnsiTheme="minorHAnsi" w:cs="Calibri"/>
          <w:sz w:val="24"/>
          <w:szCs w:val="24"/>
        </w:rPr>
        <w:tab/>
        <w:t>Eduardo Conejo</w:t>
      </w:r>
    </w:p>
    <w:p w:rsidR="00E92C72" w:rsidRPr="002F39F3" w:rsidRDefault="00752075">
      <w:pPr>
        <w:widowControl w:val="0"/>
        <w:numPr>
          <w:ilvl w:val="1"/>
          <w:numId w:val="17"/>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Empleo:</w:t>
      </w:r>
      <w:r w:rsidRPr="002F39F3">
        <w:rPr>
          <w:rFonts w:asciiTheme="minorHAnsi" w:eastAsia="Calibri" w:hAnsiTheme="minorHAnsi" w:cs="Calibri"/>
          <w:sz w:val="24"/>
          <w:szCs w:val="24"/>
        </w:rPr>
        <w:tab/>
        <w:t xml:space="preserve">Mª Ángeles </w:t>
      </w:r>
      <w:proofErr w:type="spellStart"/>
      <w:r w:rsidRPr="002F39F3">
        <w:rPr>
          <w:rFonts w:asciiTheme="minorHAnsi" w:eastAsia="Calibri" w:hAnsiTheme="minorHAnsi" w:cs="Calibri"/>
          <w:sz w:val="24"/>
          <w:szCs w:val="24"/>
        </w:rPr>
        <w:t>Cervel</w:t>
      </w:r>
      <w:proofErr w:type="spellEnd"/>
      <w:r w:rsidRPr="002F39F3">
        <w:rPr>
          <w:rFonts w:asciiTheme="minorHAnsi" w:eastAsia="Calibri" w:hAnsiTheme="minorHAnsi" w:cs="Calibri"/>
          <w:sz w:val="24"/>
          <w:szCs w:val="24"/>
        </w:rPr>
        <w:t xml:space="preserve">, Raquel Barrón, Luis </w:t>
      </w:r>
      <w:proofErr w:type="spellStart"/>
      <w:r w:rsidRPr="002F39F3">
        <w:rPr>
          <w:rFonts w:asciiTheme="minorHAnsi" w:eastAsia="Calibri" w:hAnsiTheme="minorHAnsi" w:cs="Calibri"/>
          <w:sz w:val="24"/>
          <w:szCs w:val="24"/>
        </w:rPr>
        <w:t>Aymá</w:t>
      </w:r>
      <w:proofErr w:type="spellEnd"/>
    </w:p>
    <w:p w:rsidR="00E92C72" w:rsidRPr="002F39F3" w:rsidRDefault="00752075">
      <w:pPr>
        <w:widowControl w:val="0"/>
        <w:numPr>
          <w:ilvl w:val="1"/>
          <w:numId w:val="17"/>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RMI:</w:t>
      </w:r>
      <w:r w:rsidRPr="002F39F3">
        <w:rPr>
          <w:rFonts w:asciiTheme="minorHAnsi" w:eastAsia="Calibri" w:hAnsiTheme="minorHAnsi" w:cs="Calibri"/>
          <w:sz w:val="24"/>
          <w:szCs w:val="24"/>
        </w:rPr>
        <w:tab/>
      </w:r>
      <w:r w:rsidRPr="002F39F3">
        <w:rPr>
          <w:rFonts w:asciiTheme="minorHAnsi" w:eastAsia="Calibri" w:hAnsiTheme="minorHAnsi" w:cs="Calibri"/>
          <w:sz w:val="24"/>
          <w:szCs w:val="24"/>
        </w:rPr>
        <w:tab/>
        <w:t>Gema Gallardo</w:t>
      </w:r>
    </w:p>
    <w:p w:rsidR="00E92C72" w:rsidRPr="002F39F3" w:rsidRDefault="00752075">
      <w:pPr>
        <w:widowControl w:val="0"/>
        <w:numPr>
          <w:ilvl w:val="1"/>
          <w:numId w:val="17"/>
        </w:numPr>
        <w:ind w:hanging="360"/>
        <w:contextualSpacing/>
        <w:jc w:val="both"/>
        <w:rPr>
          <w:rFonts w:asciiTheme="minorHAnsi" w:eastAsia="Calibri" w:hAnsiTheme="minorHAnsi" w:cs="Calibri"/>
          <w:sz w:val="24"/>
          <w:szCs w:val="24"/>
        </w:rPr>
      </w:pPr>
      <w:r w:rsidRPr="002F39F3">
        <w:rPr>
          <w:rFonts w:asciiTheme="minorHAnsi" w:eastAsia="Calibri" w:hAnsiTheme="minorHAnsi" w:cs="Calibri"/>
          <w:sz w:val="24"/>
          <w:szCs w:val="24"/>
        </w:rPr>
        <w:t>Salud:</w:t>
      </w:r>
      <w:r w:rsidRPr="002F39F3">
        <w:rPr>
          <w:rFonts w:asciiTheme="minorHAnsi" w:eastAsia="Calibri" w:hAnsiTheme="minorHAnsi" w:cs="Calibri"/>
          <w:sz w:val="24"/>
          <w:szCs w:val="24"/>
        </w:rPr>
        <w:tab/>
      </w:r>
      <w:r w:rsidRPr="002F39F3">
        <w:rPr>
          <w:rFonts w:asciiTheme="minorHAnsi" w:eastAsia="Calibri" w:hAnsiTheme="minorHAnsi" w:cs="Calibri"/>
          <w:sz w:val="24"/>
          <w:szCs w:val="24"/>
        </w:rPr>
        <w:tab/>
        <w:t>Martina Kaplún</w:t>
      </w:r>
    </w:p>
    <w:p w:rsidR="00E92C72" w:rsidRPr="002F39F3" w:rsidRDefault="00E92C72">
      <w:pPr>
        <w:widowControl w:val="0"/>
        <w:jc w:val="both"/>
        <w:rPr>
          <w:rFonts w:asciiTheme="minorHAnsi" w:hAnsiTheme="minorHAnsi"/>
        </w:rPr>
      </w:pPr>
    </w:p>
    <w:p w:rsidR="00E92C72" w:rsidRPr="002F39F3" w:rsidRDefault="00E92C72">
      <w:pPr>
        <w:widowControl w:val="0"/>
        <w:jc w:val="both"/>
        <w:rPr>
          <w:rFonts w:asciiTheme="minorHAnsi" w:hAnsiTheme="minorHAnsi"/>
        </w:rPr>
      </w:pPr>
    </w:p>
    <w:p w:rsidR="00E92C72" w:rsidRPr="002F39F3" w:rsidRDefault="00752075">
      <w:pPr>
        <w:widowControl w:val="0"/>
        <w:jc w:val="both"/>
        <w:rPr>
          <w:rFonts w:asciiTheme="minorHAnsi" w:hAnsiTheme="minorHAnsi"/>
        </w:rPr>
      </w:pPr>
      <w:r w:rsidRPr="002F39F3">
        <w:rPr>
          <w:rFonts w:asciiTheme="minorHAnsi" w:eastAsia="Calibri" w:hAnsiTheme="minorHAnsi" w:cs="Calibri"/>
          <w:b/>
          <w:sz w:val="24"/>
          <w:szCs w:val="24"/>
        </w:rPr>
        <w:t>EAPN Madrid</w:t>
      </w:r>
    </w:p>
    <w:p w:rsidR="00E92C72" w:rsidRPr="002F39F3" w:rsidRDefault="00752075">
      <w:pPr>
        <w:widowControl w:val="0"/>
        <w:jc w:val="both"/>
        <w:rPr>
          <w:rFonts w:asciiTheme="minorHAnsi" w:hAnsiTheme="minorHAnsi"/>
        </w:rPr>
      </w:pPr>
      <w:r w:rsidRPr="002F39F3">
        <w:rPr>
          <w:rFonts w:asciiTheme="minorHAnsi" w:eastAsia="Calibri" w:hAnsiTheme="minorHAnsi" w:cs="Calibri"/>
          <w:b/>
          <w:sz w:val="24"/>
          <w:szCs w:val="24"/>
        </w:rPr>
        <w:t>19 de febrero de 2016</w:t>
      </w:r>
    </w:p>
    <w:p w:rsidR="00E92C72" w:rsidRPr="002F39F3" w:rsidRDefault="00E92C72" w:rsidP="0083462A">
      <w:pPr>
        <w:widowControl w:val="0"/>
        <w:rPr>
          <w:rFonts w:asciiTheme="minorHAnsi" w:hAnsiTheme="minorHAnsi"/>
        </w:rPr>
      </w:pPr>
      <w:bookmarkStart w:id="0" w:name="_GoBack"/>
      <w:bookmarkEnd w:id="0"/>
    </w:p>
    <w:sectPr w:rsidR="00E92C72" w:rsidRPr="002F39F3" w:rsidSect="002F39F3">
      <w:headerReference w:type="default" r:id="rId8"/>
      <w:pgSz w:w="12240" w:h="15840" w:code="1"/>
      <w:pgMar w:top="269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D1" w:rsidRDefault="003D68D1" w:rsidP="0087441A">
      <w:pPr>
        <w:spacing w:line="240" w:lineRule="auto"/>
      </w:pPr>
      <w:r>
        <w:separator/>
      </w:r>
    </w:p>
  </w:endnote>
  <w:endnote w:type="continuationSeparator" w:id="0">
    <w:p w:rsidR="003D68D1" w:rsidRDefault="003D68D1" w:rsidP="0087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D1" w:rsidRDefault="003D68D1" w:rsidP="0087441A">
      <w:pPr>
        <w:spacing w:line="240" w:lineRule="auto"/>
      </w:pPr>
      <w:r>
        <w:separator/>
      </w:r>
    </w:p>
  </w:footnote>
  <w:footnote w:type="continuationSeparator" w:id="0">
    <w:p w:rsidR="003D68D1" w:rsidRDefault="003D68D1" w:rsidP="008744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1A" w:rsidRDefault="002B667A" w:rsidP="002F39F3">
    <w:pPr>
      <w:pStyle w:val="Encabezado"/>
      <w:jc w:val="center"/>
    </w:pPr>
    <w:r>
      <w:rPr>
        <w:noProof/>
      </w:rPr>
      <w:drawing>
        <wp:inline distT="0" distB="0" distL="0" distR="0" wp14:anchorId="2D180311" wp14:editId="0D3A6903">
          <wp:extent cx="931038" cy="1080000"/>
          <wp:effectExtent l="0" t="0" r="254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PN-Madrid.JPEG"/>
                  <pic:cNvPicPr/>
                </pic:nvPicPr>
                <pic:blipFill>
                  <a:blip r:embed="rId1">
                    <a:extLst>
                      <a:ext uri="{28A0092B-C50C-407E-A947-70E740481C1C}">
                        <a14:useLocalDpi xmlns:a14="http://schemas.microsoft.com/office/drawing/2010/main" val="0"/>
                      </a:ext>
                    </a:extLst>
                  </a:blip>
                  <a:stretch>
                    <a:fillRect/>
                  </a:stretch>
                </pic:blipFill>
                <pic:spPr>
                  <a:xfrm>
                    <a:off x="0" y="0"/>
                    <a:ext cx="931038" cy="1080000"/>
                  </a:xfrm>
                  <a:prstGeom prst="rect">
                    <a:avLst/>
                  </a:prstGeom>
                </pic:spPr>
              </pic:pic>
            </a:graphicData>
          </a:graphic>
        </wp:inline>
      </w:drawing>
    </w:r>
    <w:sdt>
      <w:sdtPr>
        <w:id w:val="-1860660260"/>
        <w:docPartObj>
          <w:docPartGallery w:val="Page Numbers (Margins)"/>
          <w:docPartUnique/>
        </w:docPartObj>
      </w:sdtPr>
      <w:sdtEndPr/>
      <w:sdtContent>
        <w:r w:rsidR="0087441A">
          <w:rPr>
            <w:noProof/>
          </w:rPr>
          <mc:AlternateContent>
            <mc:Choice Requires="wpg">
              <w:drawing>
                <wp:anchor distT="0" distB="0" distL="114300" distR="114300" simplePos="0" relativeHeight="251659264" behindDoc="0" locked="0" layoutInCell="0" allowOverlap="1" wp14:anchorId="14DB56A8" wp14:editId="3D983835">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41A" w:rsidRDefault="0087441A">
                                <w:pPr>
                                  <w:pStyle w:val="Encabezado"/>
                                  <w:jc w:val="center"/>
                                </w:pPr>
                                <w:r>
                                  <w:rPr>
                                    <w:color w:val="auto"/>
                                  </w:rPr>
                                  <w:fldChar w:fldCharType="begin"/>
                                </w:r>
                                <w:r>
                                  <w:instrText>PAGE    \* MERGEFORMAT</w:instrText>
                                </w:r>
                                <w:r>
                                  <w:rPr>
                                    <w:color w:val="auto"/>
                                  </w:rPr>
                                  <w:fldChar w:fldCharType="separate"/>
                                </w:r>
                                <w:r w:rsidR="00F01833" w:rsidRPr="00F01833">
                                  <w:rPr>
                                    <w:rStyle w:val="Nmerodepgina"/>
                                    <w:b/>
                                    <w:bCs/>
                                    <w:noProof/>
                                    <w:color w:val="403152" w:themeColor="accent4" w:themeShade="80"/>
                                    <w:sz w:val="16"/>
                                    <w:szCs w:val="16"/>
                                  </w:rPr>
                                  <w:t>2</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87441A" w:rsidRDefault="0087441A">
                          <w:pPr>
                            <w:pStyle w:val="Encabezado"/>
                            <w:jc w:val="center"/>
                          </w:pPr>
                          <w:r>
                            <w:rPr>
                              <w:color w:val="auto"/>
                            </w:rPr>
                            <w:fldChar w:fldCharType="begin"/>
                          </w:r>
                          <w:r>
                            <w:instrText>PAGE    \* MERGEFORMAT</w:instrText>
                          </w:r>
                          <w:r>
                            <w:rPr>
                              <w:color w:val="auto"/>
                            </w:rPr>
                            <w:fldChar w:fldCharType="separate"/>
                          </w:r>
                          <w:r w:rsidR="00F01833" w:rsidRPr="00F01833">
                            <w:rPr>
                              <w:rStyle w:val="Nmerodepgina"/>
                              <w:b/>
                              <w:bCs/>
                              <w:noProof/>
                              <w:color w:val="403152" w:themeColor="accent4" w:themeShade="80"/>
                              <w:sz w:val="16"/>
                              <w:szCs w:val="16"/>
                            </w:rPr>
                            <w:t>2</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D1"/>
    <w:multiLevelType w:val="multilevel"/>
    <w:tmpl w:val="9370A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500131"/>
    <w:multiLevelType w:val="multilevel"/>
    <w:tmpl w:val="D646C6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3D2507"/>
    <w:multiLevelType w:val="multilevel"/>
    <w:tmpl w:val="74767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256AF9"/>
    <w:multiLevelType w:val="multilevel"/>
    <w:tmpl w:val="23FAA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645BA9"/>
    <w:multiLevelType w:val="multilevel"/>
    <w:tmpl w:val="31F86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F700AC"/>
    <w:multiLevelType w:val="multilevel"/>
    <w:tmpl w:val="D22427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97383F"/>
    <w:multiLevelType w:val="multilevel"/>
    <w:tmpl w:val="EC60D0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8887597"/>
    <w:multiLevelType w:val="multilevel"/>
    <w:tmpl w:val="F872E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07C1FDF"/>
    <w:multiLevelType w:val="multilevel"/>
    <w:tmpl w:val="D9D43F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4546534F"/>
    <w:multiLevelType w:val="multilevel"/>
    <w:tmpl w:val="7B782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2F6F6C"/>
    <w:multiLevelType w:val="multilevel"/>
    <w:tmpl w:val="B94A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C431B2"/>
    <w:multiLevelType w:val="multilevel"/>
    <w:tmpl w:val="82FEF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8420398"/>
    <w:multiLevelType w:val="multilevel"/>
    <w:tmpl w:val="0ADC1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97E5E4E"/>
    <w:multiLevelType w:val="multilevel"/>
    <w:tmpl w:val="2A8ED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B26510E"/>
    <w:multiLevelType w:val="multilevel"/>
    <w:tmpl w:val="A594C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E1D126C"/>
    <w:multiLevelType w:val="multilevel"/>
    <w:tmpl w:val="C6A43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E75336A"/>
    <w:multiLevelType w:val="multilevel"/>
    <w:tmpl w:val="3EE89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9"/>
  </w:num>
  <w:num w:numId="3">
    <w:abstractNumId w:val="1"/>
  </w:num>
  <w:num w:numId="4">
    <w:abstractNumId w:val="15"/>
  </w:num>
  <w:num w:numId="5">
    <w:abstractNumId w:val="14"/>
  </w:num>
  <w:num w:numId="6">
    <w:abstractNumId w:val="8"/>
  </w:num>
  <w:num w:numId="7">
    <w:abstractNumId w:val="0"/>
  </w:num>
  <w:num w:numId="8">
    <w:abstractNumId w:val="4"/>
  </w:num>
  <w:num w:numId="9">
    <w:abstractNumId w:val="6"/>
  </w:num>
  <w:num w:numId="10">
    <w:abstractNumId w:val="2"/>
  </w:num>
  <w:num w:numId="11">
    <w:abstractNumId w:val="13"/>
  </w:num>
  <w:num w:numId="12">
    <w:abstractNumId w:val="10"/>
  </w:num>
  <w:num w:numId="13">
    <w:abstractNumId w:val="11"/>
  </w:num>
  <w:num w:numId="14">
    <w:abstractNumId w:val="16"/>
  </w:num>
  <w:num w:numId="15">
    <w:abstractNumId w:val="7"/>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92C72"/>
    <w:rsid w:val="000348A0"/>
    <w:rsid w:val="001D790D"/>
    <w:rsid w:val="002B667A"/>
    <w:rsid w:val="002F39F3"/>
    <w:rsid w:val="003D68D1"/>
    <w:rsid w:val="00443645"/>
    <w:rsid w:val="004943FF"/>
    <w:rsid w:val="00752075"/>
    <w:rsid w:val="00833F72"/>
    <w:rsid w:val="0083462A"/>
    <w:rsid w:val="0087441A"/>
    <w:rsid w:val="00956C6B"/>
    <w:rsid w:val="00B00E20"/>
    <w:rsid w:val="00D662B6"/>
    <w:rsid w:val="00E92C72"/>
    <w:rsid w:val="00EF1358"/>
    <w:rsid w:val="00F01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7441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7441A"/>
  </w:style>
  <w:style w:type="paragraph" w:styleId="Piedepgina">
    <w:name w:val="footer"/>
    <w:basedOn w:val="Normal"/>
    <w:link w:val="PiedepginaCar"/>
    <w:uiPriority w:val="99"/>
    <w:unhideWhenUsed/>
    <w:rsid w:val="0087441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7441A"/>
  </w:style>
  <w:style w:type="character" w:styleId="Nmerodepgina">
    <w:name w:val="page number"/>
    <w:basedOn w:val="Fuentedeprrafopredeter"/>
    <w:uiPriority w:val="99"/>
    <w:unhideWhenUsed/>
    <w:rsid w:val="0087441A"/>
  </w:style>
  <w:style w:type="paragraph" w:styleId="Textodeglobo">
    <w:name w:val="Balloon Text"/>
    <w:basedOn w:val="Normal"/>
    <w:link w:val="TextodegloboCar"/>
    <w:uiPriority w:val="99"/>
    <w:semiHidden/>
    <w:unhideWhenUsed/>
    <w:rsid w:val="002B667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7441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7441A"/>
  </w:style>
  <w:style w:type="paragraph" w:styleId="Piedepgina">
    <w:name w:val="footer"/>
    <w:basedOn w:val="Normal"/>
    <w:link w:val="PiedepginaCar"/>
    <w:uiPriority w:val="99"/>
    <w:unhideWhenUsed/>
    <w:rsid w:val="0087441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7441A"/>
  </w:style>
  <w:style w:type="character" w:styleId="Nmerodepgina">
    <w:name w:val="page number"/>
    <w:basedOn w:val="Fuentedeprrafopredeter"/>
    <w:uiPriority w:val="99"/>
    <w:unhideWhenUsed/>
    <w:rsid w:val="0087441A"/>
  </w:style>
  <w:style w:type="paragraph" w:styleId="Textodeglobo">
    <w:name w:val="Balloon Text"/>
    <w:basedOn w:val="Normal"/>
    <w:link w:val="TextodegloboCar"/>
    <w:uiPriority w:val="99"/>
    <w:semiHidden/>
    <w:unhideWhenUsed/>
    <w:rsid w:val="002B667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EAPN MADRID</dc:creator>
  <cp:lastModifiedBy>EAPN</cp:lastModifiedBy>
  <cp:revision>4</cp:revision>
  <dcterms:created xsi:type="dcterms:W3CDTF">2016-07-19T12:06:00Z</dcterms:created>
  <dcterms:modified xsi:type="dcterms:W3CDTF">2016-07-19T12:10:00Z</dcterms:modified>
</cp:coreProperties>
</file>